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木奇镇履行职责事项清单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b w:val="0"/>
              <w:bCs/>
              <w:lang w:eastAsia="zh-CN"/>
            </w:rPr>
            <w:t>清</w:t>
          </w:r>
          <w:r>
            <w:rPr>
              <w:rStyle w:val="11"/>
              <w:rFonts w:eastAsia="方正公文小标宋" w:cs="Times New Roman"/>
              <w:lang w:eastAsia="zh-CN"/>
            </w:rPr>
            <w:t>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w:t>
          </w:r>
        </w:p>
      </w:sdtContent>
    </w:sdt>
    <w:p>
      <w:pPr>
        <w:pStyle w:val="2"/>
        <w:jc w:val="both"/>
        <w:rPr>
          <w:rFonts w:ascii="Times New Roman" w:hAnsi="Times New Roman" w:eastAsia="方正小标宋_GBK" w:cs="Times New Roman"/>
          <w:color w:val="auto"/>
          <w:spacing w:val="7"/>
          <w:sz w:val="44"/>
          <w:szCs w:val="44"/>
          <w:lang w:eastAsia="zh-CN"/>
        </w:rPr>
      </w:pPr>
    </w:p>
    <w:p>
      <w:pPr>
        <w:pStyle w:val="3"/>
        <w:spacing w:before="0" w:after="0" w:line="240" w:lineRule="auto"/>
        <w:jc w:val="center"/>
        <w:rPr>
          <w:rFonts w:ascii="Times New Roman" w:hAnsi="Times New Roman" w:eastAsia="方正公文小标宋" w:cs="Times New Roman"/>
          <w:b w:val="0"/>
          <w:lang w:eastAsia="zh-CN"/>
        </w:rPr>
      </w:pPr>
      <w:bookmarkStart w:id="0" w:name="_Toc172077551"/>
      <w:bookmarkStart w:id="1" w:name="_Toc172077949"/>
      <w:bookmarkStart w:id="2" w:name="_Toc172077416"/>
      <w:bookmarkStart w:id="3" w:name="_Toc172533652"/>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lang w:eastAsia="zh-CN"/>
        </w:rPr>
      </w:pPr>
    </w:p>
    <w:p>
      <w:pPr>
        <w:pStyle w:val="3"/>
        <w:spacing w:before="0" w:after="0" w:line="240" w:lineRule="auto"/>
        <w:jc w:val="both"/>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lang w:eastAsia="zh-CN"/>
        </w:rPr>
      </w:pPr>
    </w:p>
    <w:p>
      <w:pPr>
        <w:pStyle w:val="3"/>
        <w:spacing w:before="0" w:after="0" w:line="240" w:lineRule="auto"/>
        <w:jc w:val="both"/>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发挥“新宾蜂蜜”国家地理标志影响力，推广“地理标志+企业+农户”模式，大力发展生态经济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依托猴石国家森林公园景区，支持发展东韩家村满族民宿经济等项目，打造宜养、宜居、宜业和美乡村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开展棚户区改造后续安置工作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强化水源地一级保护区环境保护，常态化开展巡查管理，深化宣传教育，推动公众参与，筑牢饮水安全生态屏障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深入挖掘“红色资源”，推进猴石地区抗联密营遗址群发掘保护及抗联纪念馆建设，积极打造红色之旅路线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21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27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2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20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3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24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24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tblPrEx>
          <w:tblCellMar>
            <w:top w:w="0" w:type="dxa"/>
            <w:left w:w="108" w:type="dxa"/>
            <w:bottom w:w="0" w:type="dxa"/>
            <w:right w:w="108" w:type="dxa"/>
          </w:tblCellMar>
        </w:tblPrEx>
        <w:trPr>
          <w:cantSplit/>
          <w:trHeight w:val="23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2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39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32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32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70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41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40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30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2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54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1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14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1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17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1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1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15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15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16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9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1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16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1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7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14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14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1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D9090B"/>
    <w:rsid w:val="0ADD1F2C"/>
    <w:rsid w:val="142C316E"/>
    <w:rsid w:val="25A34D22"/>
    <w:rsid w:val="2C491918"/>
    <w:rsid w:val="49C24FCF"/>
    <w:rsid w:val="56C2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89</Words>
  <Characters>90</Characters>
  <Lines>1</Lines>
  <Paragraphs>1</Paragraphs>
  <TotalTime>12</TotalTime>
  <ScaleCrop>false</ScaleCrop>
  <LinksUpToDate>false</LinksUpToDate>
  <CharactersWithSpaces>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2025-07-01T13:07:29Z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eyJoZGlkIjoiOGQ4OTU5MjE5ZGNkYzc4MmRlZTQ5ZTFmZmM3M2E0YTUiLCJ1c2VySWQiOiI2MjQ5MTk3MDUifQ==</vt:lpwstr>
  </property>
  <property fmtid="{D5CDD505-2E9C-101B-9397-08002B2CF9AE}" pid="3" name="KSOProductBuildVer">
    <vt:lpwstr>2052-12.1.0.16417</vt:lpwstr>
  </property>
  <property fmtid="{D5CDD505-2E9C-101B-9397-08002B2CF9AE}" pid="4" name="ICV">
    <vt:lpwstr>DF39E73B11D34B9C983506F006F5036F_12</vt:lpwstr>
  </property>
</Properties>
</file>